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09E2" w14:textId="6AFF08CC" w:rsidR="008B73D5" w:rsidRDefault="00BC3681">
      <w:r>
        <w:t xml:space="preserve">                      </w:t>
      </w:r>
    </w:p>
    <w:p w14:paraId="601EC4CE" w14:textId="670E42A6" w:rsidR="00616514" w:rsidRDefault="00616514"/>
    <w:p w14:paraId="291FCA79" w14:textId="43A75A93" w:rsidR="00616514" w:rsidRDefault="00616514"/>
    <w:p w14:paraId="4F0AC50D" w14:textId="62AF3B0F" w:rsidR="00014A93" w:rsidRDefault="008544F6" w:rsidP="0061651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Portafolio de Evidencias Virtual</w:t>
      </w:r>
    </w:p>
    <w:p w14:paraId="07E4AA6D" w14:textId="15410CFB" w:rsidR="00616514" w:rsidRDefault="00616514" w:rsidP="00616514">
      <w:pPr>
        <w:jc w:val="center"/>
        <w:rPr>
          <w:rFonts w:ascii="Arial" w:hAnsi="Arial" w:cs="Arial"/>
          <w:sz w:val="28"/>
          <w:szCs w:val="28"/>
        </w:rPr>
      </w:pPr>
    </w:p>
    <w:p w14:paraId="7B9BC336" w14:textId="77777777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05877AF9" w14:textId="7B6009E2" w:rsidR="00B642AD" w:rsidRPr="00682A58" w:rsidRDefault="00B642AD" w:rsidP="006165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2A58">
        <w:rPr>
          <w:rFonts w:ascii="Arial" w:hAnsi="Arial" w:cs="Arial"/>
          <w:b/>
          <w:bCs/>
          <w:sz w:val="28"/>
          <w:szCs w:val="28"/>
        </w:rPr>
        <w:t>Presenta:</w:t>
      </w:r>
    </w:p>
    <w:p w14:paraId="4E710E95" w14:textId="1DF5794E" w:rsidR="00B642AD" w:rsidRDefault="00677BC1" w:rsidP="006165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Maximiliano Gamas Pérez</w:t>
      </w:r>
    </w:p>
    <w:p w14:paraId="2BE71B8D" w14:textId="5C18B3A8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3AB12027" w14:textId="382B5621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71940148" w14:textId="56022A6E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477F55A0" w14:textId="3536B23A" w:rsidR="00AA3833" w:rsidRDefault="00AA3833" w:rsidP="00AA38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Asignatura </w:t>
      </w:r>
      <w:r w:rsidRPr="00682A58">
        <w:rPr>
          <w:rFonts w:ascii="Arial" w:hAnsi="Arial" w:cs="Arial"/>
          <w:b/>
          <w:bCs/>
          <w:sz w:val="28"/>
          <w:szCs w:val="28"/>
        </w:rPr>
        <w:t>Impartid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682A58">
        <w:rPr>
          <w:rFonts w:ascii="Arial" w:hAnsi="Arial" w:cs="Arial"/>
          <w:b/>
          <w:bCs/>
          <w:sz w:val="28"/>
          <w:szCs w:val="28"/>
        </w:rPr>
        <w:t xml:space="preserve"> por</w:t>
      </w:r>
      <w:r>
        <w:rPr>
          <w:rFonts w:ascii="Arial" w:hAnsi="Arial" w:cs="Arial"/>
          <w:sz w:val="28"/>
          <w:szCs w:val="28"/>
        </w:rPr>
        <w:t xml:space="preserve"> </w:t>
      </w:r>
      <w:r w:rsidRPr="00682A58">
        <w:rPr>
          <w:rFonts w:ascii="Arial" w:hAnsi="Arial" w:cs="Arial"/>
          <w:b/>
          <w:bCs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7B04B8B5" w14:textId="37AB0D88" w:rsidR="00AA3833" w:rsidRPr="00A71850" w:rsidRDefault="00A71850" w:rsidP="00AA3833">
      <w:pPr>
        <w:jc w:val="center"/>
        <w:rPr>
          <w:rFonts w:ascii="Arial" w:hAnsi="Arial" w:cs="Arial"/>
          <w:sz w:val="28"/>
          <w:szCs w:val="28"/>
        </w:rPr>
      </w:pPr>
      <w:r w:rsidRPr="00A71850">
        <w:rPr>
          <w:rFonts w:ascii="Arial" w:hAnsi="Arial" w:cs="Arial"/>
          <w:sz w:val="28"/>
          <w:szCs w:val="28"/>
        </w:rPr>
        <w:t>Dra. Minerva Camacho Javier</w:t>
      </w:r>
    </w:p>
    <w:p w14:paraId="2C22A0CB" w14:textId="77777777" w:rsidR="00AA3833" w:rsidRDefault="00AA3833" w:rsidP="00616514">
      <w:pPr>
        <w:jc w:val="center"/>
        <w:rPr>
          <w:rFonts w:ascii="Arial" w:hAnsi="Arial" w:cs="Arial"/>
          <w:sz w:val="28"/>
          <w:szCs w:val="28"/>
        </w:rPr>
      </w:pPr>
    </w:p>
    <w:p w14:paraId="366E0334" w14:textId="7B23CFCD" w:rsidR="00B642AD" w:rsidRDefault="00B642AD" w:rsidP="00616514">
      <w:pPr>
        <w:jc w:val="center"/>
        <w:rPr>
          <w:rFonts w:ascii="Arial" w:hAnsi="Arial" w:cs="Arial"/>
          <w:sz w:val="28"/>
          <w:szCs w:val="28"/>
        </w:rPr>
      </w:pPr>
    </w:p>
    <w:p w14:paraId="27E7E7A1" w14:textId="06ADE495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75CBC006" w14:textId="77777777" w:rsidR="00C64EC9" w:rsidRDefault="00C64EC9" w:rsidP="00616514">
      <w:pPr>
        <w:jc w:val="center"/>
        <w:rPr>
          <w:rFonts w:ascii="Arial" w:hAnsi="Arial" w:cs="Arial"/>
          <w:sz w:val="28"/>
          <w:szCs w:val="28"/>
        </w:rPr>
      </w:pPr>
    </w:p>
    <w:p w14:paraId="25E6B34E" w14:textId="77777777" w:rsidR="00C64EC9" w:rsidRDefault="00C64EC9" w:rsidP="00616514">
      <w:pPr>
        <w:jc w:val="center"/>
        <w:rPr>
          <w:rFonts w:ascii="Arial" w:hAnsi="Arial" w:cs="Arial"/>
          <w:sz w:val="28"/>
          <w:szCs w:val="28"/>
        </w:rPr>
      </w:pPr>
    </w:p>
    <w:p w14:paraId="5826DA7B" w14:textId="77777777" w:rsidR="00682A58" w:rsidRDefault="00682A58" w:rsidP="00616514">
      <w:pPr>
        <w:jc w:val="center"/>
        <w:rPr>
          <w:rFonts w:ascii="Arial" w:hAnsi="Arial" w:cs="Arial"/>
          <w:sz w:val="28"/>
          <w:szCs w:val="28"/>
        </w:rPr>
      </w:pPr>
    </w:p>
    <w:p w14:paraId="54A6FC49" w14:textId="0E6C7EC7" w:rsidR="00B642AD" w:rsidRDefault="00B642AD" w:rsidP="00B642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Ciclo </w:t>
      </w:r>
      <w:r w:rsidR="00071AA9">
        <w:rPr>
          <w:rFonts w:ascii="Arial" w:hAnsi="Arial" w:cs="Arial"/>
          <w:sz w:val="28"/>
          <w:szCs w:val="28"/>
        </w:rPr>
        <w:t>0</w:t>
      </w:r>
      <w:r w:rsidR="00704D9E">
        <w:rPr>
          <w:rFonts w:ascii="Arial" w:hAnsi="Arial" w:cs="Arial"/>
          <w:sz w:val="28"/>
          <w:szCs w:val="28"/>
        </w:rPr>
        <w:t>2</w:t>
      </w:r>
      <w:r w:rsidR="00071AA9">
        <w:rPr>
          <w:rFonts w:ascii="Arial" w:hAnsi="Arial" w:cs="Arial"/>
          <w:sz w:val="28"/>
          <w:szCs w:val="28"/>
        </w:rPr>
        <w:t>-2025</w:t>
      </w:r>
    </w:p>
    <w:p w14:paraId="29E4C494" w14:textId="382ADFEF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5FDDB4A1" w14:textId="57677867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3782E12F" w14:textId="330592C7" w:rsidR="001B4512" w:rsidRDefault="001B4512" w:rsidP="00B642AD">
      <w:pPr>
        <w:jc w:val="center"/>
        <w:rPr>
          <w:rFonts w:ascii="Arial" w:hAnsi="Arial" w:cs="Arial"/>
          <w:sz w:val="28"/>
          <w:szCs w:val="28"/>
        </w:rPr>
      </w:pPr>
    </w:p>
    <w:p w14:paraId="7EC68D2F" w14:textId="09283D8D" w:rsidR="001B4512" w:rsidRDefault="006D070B" w:rsidP="00B642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070B">
        <w:rPr>
          <w:rFonts w:ascii="Arial" w:hAnsi="Arial" w:cs="Arial"/>
          <w:b/>
          <w:bCs/>
          <w:sz w:val="28"/>
          <w:szCs w:val="28"/>
        </w:rPr>
        <w:lastRenderedPageBreak/>
        <w:t>Introducción</w:t>
      </w:r>
    </w:p>
    <w:p w14:paraId="7804936B" w14:textId="47540AFE" w:rsidR="00677BC1" w:rsidRPr="00677BC1" w:rsidRDefault="00677BC1" w:rsidP="00677BC1">
      <w:pPr>
        <w:spacing w:line="480" w:lineRule="auto"/>
        <w:ind w:firstLine="709"/>
        <w:rPr>
          <w:rFonts w:ascii="Arial" w:hAnsi="Arial" w:cs="Arial"/>
          <w:sz w:val="24"/>
          <w:szCs w:val="24"/>
        </w:rPr>
      </w:pPr>
      <w:r w:rsidRPr="00677BC1">
        <w:rPr>
          <w:rFonts w:ascii="Arial" w:hAnsi="Arial" w:cs="Arial"/>
          <w:sz w:val="24"/>
          <w:szCs w:val="24"/>
        </w:rPr>
        <w:t xml:space="preserve">Este Portafolio de Evidencias Virtual (PEV) tiene como finalidad exhibir los conocimientos y habilidades adquiridos a lo largo </w:t>
      </w:r>
      <w:r w:rsidRPr="00677BC1">
        <w:rPr>
          <w:rFonts w:ascii="Arial" w:hAnsi="Arial" w:cs="Arial"/>
          <w:sz w:val="24"/>
          <w:szCs w:val="24"/>
        </w:rPr>
        <w:t>de la materia</w:t>
      </w:r>
      <w:r w:rsidRPr="00677BC1">
        <w:rPr>
          <w:rFonts w:ascii="Arial" w:hAnsi="Arial" w:cs="Arial"/>
          <w:sz w:val="24"/>
          <w:szCs w:val="24"/>
        </w:rPr>
        <w:t>, sirviendo como un espacio para la autorreflexión sobre mi crecimiento y para demostrar la aplicación de los fundamentos teóricos en ejercicios y proyectos prácticos, consolidando así mis competencias profesionales.</w:t>
      </w:r>
    </w:p>
    <w:p w14:paraId="0A7B3866" w14:textId="0C4CBB60" w:rsidR="00677BC1" w:rsidRPr="00677BC1" w:rsidRDefault="00677BC1" w:rsidP="00677BC1">
      <w:pPr>
        <w:spacing w:line="480" w:lineRule="auto"/>
        <w:rPr>
          <w:rFonts w:ascii="Arial" w:hAnsi="Arial" w:cs="Arial"/>
          <w:sz w:val="24"/>
          <w:szCs w:val="24"/>
        </w:rPr>
      </w:pPr>
      <w:r w:rsidRPr="00677BC1">
        <w:rPr>
          <w:rFonts w:ascii="Arial" w:hAnsi="Arial" w:cs="Arial"/>
          <w:sz w:val="24"/>
          <w:szCs w:val="24"/>
        </w:rPr>
        <w:t>El portafolio fue desarrollado en el sitio web Wix, una herramienta profesional que se alinea con los estándares del diseño visual y permite una presentación pulcra y moderna del contenido. Su estructura comprende una página de inicio con una declaración de propósito, una sección “Sobre mí”, un módulo de “Evidencias” organizado por etapas que se fueron desarrollando a lo largo del semestre, y una “Reflexión” donde se sintetiza la evolución tanto académica como personal. También incorpora un apartado de fuentes consultadas y un espacio para la retroalimentación por parte del docente.</w:t>
      </w:r>
    </w:p>
    <w:p w14:paraId="12D09425" w14:textId="76BCFBE9" w:rsidR="00DA3267" w:rsidRPr="00677BC1" w:rsidRDefault="00677BC1" w:rsidP="00677BC1">
      <w:pPr>
        <w:spacing w:line="480" w:lineRule="auto"/>
        <w:rPr>
          <w:rFonts w:ascii="Arial" w:hAnsi="Arial" w:cs="Arial"/>
          <w:sz w:val="24"/>
          <w:szCs w:val="24"/>
        </w:rPr>
      </w:pPr>
      <w:r w:rsidRPr="00677BC1">
        <w:rPr>
          <w:rFonts w:ascii="Arial" w:hAnsi="Arial" w:cs="Arial"/>
          <w:sz w:val="24"/>
          <w:szCs w:val="24"/>
        </w:rPr>
        <w:t>La creación de este portafolio me permitió consolidar competencias en diseño digital, narrativa visual, síntesis de información y presentación profesional. No obstante, soy consciente de que debo continuar profundizando en el manejo de herramientas de análisis de datos y en la optimización de los flujos de trabajo, aspectos cruciales para mi consolidación como futuro profesional de la comunicación digital.</w:t>
      </w:r>
    </w:p>
    <w:p w14:paraId="11628F91" w14:textId="77777777" w:rsidR="008544F6" w:rsidRDefault="008544F6" w:rsidP="00677BC1">
      <w:pPr>
        <w:rPr>
          <w:rFonts w:ascii="Arial" w:hAnsi="Arial" w:cs="Arial"/>
          <w:sz w:val="28"/>
          <w:szCs w:val="28"/>
        </w:rPr>
        <w:sectPr w:rsidR="008544F6" w:rsidSect="000673C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AA14580" w14:textId="503E70FD" w:rsidR="008E0986" w:rsidRDefault="008E0986" w:rsidP="00677BC1">
      <w:pPr>
        <w:spacing w:line="480" w:lineRule="auto"/>
        <w:rPr>
          <w:rFonts w:ascii="Arial" w:hAnsi="Arial" w:cs="Arial"/>
          <w:sz w:val="32"/>
          <w:szCs w:val="32"/>
        </w:rPr>
      </w:pPr>
    </w:p>
    <w:p w14:paraId="7F48E55F" w14:textId="1ED64751" w:rsidR="00D6509D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32F602" wp14:editId="4258A492">
            <wp:simplePos x="0" y="0"/>
            <wp:positionH relativeFrom="margin">
              <wp:align>center</wp:align>
            </wp:positionH>
            <wp:positionV relativeFrom="margin">
              <wp:posOffset>962660</wp:posOffset>
            </wp:positionV>
            <wp:extent cx="5905514" cy="3241994"/>
            <wp:effectExtent l="0" t="0" r="0" b="0"/>
            <wp:wrapNone/>
            <wp:docPr id="7084384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38468" name="Imagen 70843846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14" cy="3241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4F6">
        <w:rPr>
          <w:rFonts w:ascii="Arial" w:hAnsi="Arial" w:cs="Arial"/>
          <w:b/>
          <w:bCs/>
          <w:sz w:val="32"/>
          <w:szCs w:val="32"/>
        </w:rPr>
        <w:t>IMAGEN PEV</w:t>
      </w:r>
    </w:p>
    <w:p w14:paraId="02EF8118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C77B5D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DD749D2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1CC7B1C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F44AB7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DD4507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903E65" w14:textId="77777777" w:rsidR="00677BC1" w:rsidRDefault="00677BC1" w:rsidP="008E0986">
      <w:pPr>
        <w:pStyle w:val="Prrafodelista"/>
        <w:spacing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A0359B" w14:textId="2BE33C72" w:rsidR="00D6509D" w:rsidRPr="00677BC1" w:rsidRDefault="00677BC1" w:rsidP="00677BC1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 w:rsidRPr="00677BC1">
        <w:rPr>
          <w:rFonts w:ascii="Arial" w:hAnsi="Arial" w:cs="Arial"/>
          <w:sz w:val="32"/>
          <w:szCs w:val="32"/>
        </w:rPr>
        <w:t> </w:t>
      </w:r>
      <w:hyperlink r:id="rId15" w:tgtFrame="_blank" w:history="1">
        <w:r w:rsidRPr="00677BC1">
          <w:rPr>
            <w:rStyle w:val="Hipervnculo"/>
            <w:rFonts w:ascii="Arial" w:hAnsi="Arial" w:cs="Arial"/>
            <w:sz w:val="32"/>
            <w:szCs w:val="32"/>
          </w:rPr>
          <w:t>https://maximilianogamaspe.wixsite.com/ciclos</w:t>
        </w:r>
      </w:hyperlink>
    </w:p>
    <w:p w14:paraId="0D2A7370" w14:textId="77777777" w:rsidR="008544F6" w:rsidRDefault="008544F6" w:rsidP="00F039D4">
      <w:pPr>
        <w:spacing w:line="480" w:lineRule="auto"/>
        <w:jc w:val="right"/>
        <w:rPr>
          <w:rFonts w:ascii="Arial" w:hAnsi="Arial" w:cs="Arial"/>
          <w:i/>
          <w:iCs/>
          <w:sz w:val="24"/>
          <w:szCs w:val="24"/>
        </w:rPr>
        <w:sectPr w:rsidR="008544F6" w:rsidSect="008544F6">
          <w:pgSz w:w="15840" w:h="12240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4E56F1CD" w14:textId="2DA8BFF2" w:rsidR="000A71E6" w:rsidRPr="000A71E6" w:rsidRDefault="00FA4FDA" w:rsidP="00FA4FD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Conclusión reflexiva</w:t>
      </w:r>
    </w:p>
    <w:p w14:paraId="317D5488" w14:textId="77777777" w:rsidR="00DA3267" w:rsidRDefault="00DA3267" w:rsidP="00677BC1">
      <w:pPr>
        <w:rPr>
          <w:rFonts w:ascii="Arial" w:hAnsi="Arial" w:cs="Arial"/>
          <w:sz w:val="28"/>
          <w:szCs w:val="28"/>
        </w:rPr>
      </w:pPr>
    </w:p>
    <w:p w14:paraId="01DE2E6B" w14:textId="75CCECE3" w:rsidR="00BD602A" w:rsidRPr="00677BC1" w:rsidRDefault="00677BC1" w:rsidP="00677BC1">
      <w:pPr>
        <w:spacing w:line="480" w:lineRule="auto"/>
        <w:ind w:firstLine="709"/>
        <w:rPr>
          <w:rFonts w:ascii="Arial" w:hAnsi="Arial" w:cs="Arial"/>
          <w:sz w:val="24"/>
          <w:szCs w:val="24"/>
        </w:rPr>
      </w:pPr>
      <w:r w:rsidRPr="00677BC1">
        <w:rPr>
          <w:rFonts w:ascii="Arial" w:hAnsi="Arial" w:cs="Arial"/>
          <w:sz w:val="24"/>
          <w:szCs w:val="24"/>
        </w:rPr>
        <w:t>Entender la Mercadotecnia de Servicios es darte cuenta de que, más allá de las estrategias y los modelos teóricos, el valor de un servicio nace de las experiencias humanas. En un mercado donde los productos se parecen cada vez más entre sí, lo que realmente diferencia a una organización es la manera en que trata a las personas: cómo escucha, cómo responde, cómo acompaña. Esta asignatura invita a ver el servicio no solo como una transacción, sino como un encuentro que puede transformar la percepción de un cliente y generar relaciones duraderas. Al aprender a diseñar y mejorar estos momentos de interacción, uno también empieza a reconocer la importancia de la empatía, la calidad y la coherencia en cualquier proyecto profesional. En el fondo, estudiar la mercadotecnia de servicios es aprender a crear valor desde lo más humano.</w:t>
      </w:r>
    </w:p>
    <w:p w14:paraId="082E4548" w14:textId="36C339B7" w:rsidR="00BD602A" w:rsidRDefault="00BD602A" w:rsidP="00616514">
      <w:pPr>
        <w:jc w:val="center"/>
        <w:rPr>
          <w:rFonts w:ascii="Arial" w:hAnsi="Arial" w:cs="Arial"/>
          <w:sz w:val="28"/>
          <w:szCs w:val="28"/>
        </w:rPr>
      </w:pPr>
    </w:p>
    <w:p w14:paraId="7A89F8D8" w14:textId="1A1C6EBB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4FD0C3F0" w14:textId="16F9BD62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05E3215C" w14:textId="75838835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520D4586" w14:textId="623111A6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0F7F03B2" w14:textId="16BD76D8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42296EE1" w14:textId="4A8F82A2" w:rsidR="006D4AA1" w:rsidRDefault="006D4AA1" w:rsidP="00677BC1">
      <w:pPr>
        <w:rPr>
          <w:rFonts w:ascii="Arial" w:hAnsi="Arial" w:cs="Arial"/>
          <w:sz w:val="28"/>
          <w:szCs w:val="28"/>
        </w:rPr>
      </w:pPr>
    </w:p>
    <w:p w14:paraId="7E9352F8" w14:textId="74E2F74A" w:rsidR="006D4AA1" w:rsidRDefault="006D4AA1" w:rsidP="00616514">
      <w:pPr>
        <w:jc w:val="center"/>
        <w:rPr>
          <w:rFonts w:ascii="Arial" w:hAnsi="Arial" w:cs="Arial"/>
          <w:sz w:val="28"/>
          <w:szCs w:val="28"/>
        </w:rPr>
      </w:pPr>
    </w:p>
    <w:p w14:paraId="5C98C4B0" w14:textId="77777777" w:rsidR="00FA4FDA" w:rsidRDefault="00FA4FDA" w:rsidP="00677BC1">
      <w:pPr>
        <w:rPr>
          <w:rFonts w:ascii="Arial" w:hAnsi="Arial" w:cs="Arial"/>
          <w:sz w:val="28"/>
          <w:szCs w:val="28"/>
        </w:rPr>
      </w:pPr>
    </w:p>
    <w:sectPr w:rsidR="00FA4FDA" w:rsidSect="008544F6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B0C6" w14:textId="77777777" w:rsidR="00D27CA7" w:rsidRDefault="00D27CA7" w:rsidP="00B642AD">
      <w:pPr>
        <w:spacing w:after="0" w:line="240" w:lineRule="auto"/>
      </w:pPr>
      <w:r>
        <w:separator/>
      </w:r>
    </w:p>
  </w:endnote>
  <w:endnote w:type="continuationSeparator" w:id="0">
    <w:p w14:paraId="0BE01DAC" w14:textId="77777777" w:rsidR="00D27CA7" w:rsidRDefault="00D27CA7" w:rsidP="00B6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052209"/>
      <w:docPartObj>
        <w:docPartGallery w:val="Page Numbers (Bottom of Page)"/>
        <w:docPartUnique/>
      </w:docPartObj>
    </w:sdtPr>
    <w:sdtEndPr/>
    <w:sdtContent>
      <w:p w14:paraId="3F1437C0" w14:textId="256A2C9B" w:rsidR="000673C8" w:rsidRDefault="000673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4E758C" w14:textId="4E12B771" w:rsidR="00D54E6E" w:rsidRDefault="00D54E6E" w:rsidP="00D54E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BDDE" w14:textId="77777777" w:rsidR="00D54E6E" w:rsidRDefault="00D54E6E" w:rsidP="00D54E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35CF" w14:textId="77777777" w:rsidR="00D27CA7" w:rsidRDefault="00D27CA7" w:rsidP="00B642AD">
      <w:pPr>
        <w:spacing w:after="0" w:line="240" w:lineRule="auto"/>
      </w:pPr>
      <w:r>
        <w:separator/>
      </w:r>
    </w:p>
  </w:footnote>
  <w:footnote w:type="continuationSeparator" w:id="0">
    <w:p w14:paraId="208670E7" w14:textId="77777777" w:rsidR="00D27CA7" w:rsidRDefault="00D27CA7" w:rsidP="00B6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4FEE" w14:textId="4A674D72" w:rsidR="00B642AD" w:rsidRDefault="00B642AD" w:rsidP="00DE49C4">
    <w:pPr>
      <w:pStyle w:val="Encabezado"/>
      <w:ind w:left="-284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2F8E2" wp14:editId="7474B087">
              <wp:simplePos x="0" y="0"/>
              <wp:positionH relativeFrom="column">
                <wp:posOffset>2740025</wp:posOffset>
              </wp:positionH>
              <wp:positionV relativeFrom="paragraph">
                <wp:posOffset>219929</wp:posOffset>
              </wp:positionV>
              <wp:extent cx="3660763" cy="640663"/>
              <wp:effectExtent l="0" t="0" r="0" b="0"/>
              <wp:wrapNone/>
              <wp:docPr id="4" name="5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0763" cy="64066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2C42C" w14:textId="77777777" w:rsidR="00B642AD" w:rsidRPr="00BC3681" w:rsidRDefault="00B642AD" w:rsidP="00B642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 w:cs="Aria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División de Ciencias Económico Administrativas</w:t>
                          </w:r>
                        </w:p>
                        <w:p w14:paraId="028CBDE1" w14:textId="77777777" w:rsidR="00B642AD" w:rsidRPr="00BC3681" w:rsidRDefault="00B642AD" w:rsidP="00B642A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Ciudad Universitaria del Conocimiento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2F8E2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left:0;text-align:left;margin-left:215.75pt;margin-top:17.3pt;width:288.2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" filled="f" stroked="f">
              <v:textbox>
                <w:txbxContent>
                  <w:p w14:paraId="5CE2C42C" w14:textId="77777777" w:rsidR="00B642AD" w:rsidRPr="00BC3681" w:rsidRDefault="00B642AD" w:rsidP="00B642A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 w:cs="Aria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División de Ciencias Económico Administrativas</w:t>
                    </w:r>
                  </w:p>
                  <w:p w14:paraId="028CBDE1" w14:textId="77777777" w:rsidR="00B642AD" w:rsidRPr="00BC3681" w:rsidRDefault="00B642AD" w:rsidP="00B642A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Ciudad Universitaria del Conocimiento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762592" wp14:editId="058C28A9">
          <wp:extent cx="2743200" cy="121010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847" cy="1224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</w:p>
  <w:p w14:paraId="68015254" w14:textId="77777777" w:rsidR="00B642AD" w:rsidRDefault="00B642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F5EF" w14:textId="11759187" w:rsidR="001B4512" w:rsidRDefault="001B4512">
    <w:pPr>
      <w:pStyle w:val="Encabezado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C996B" wp14:editId="278C3BF9">
              <wp:simplePos x="0" y="0"/>
              <wp:positionH relativeFrom="column">
                <wp:posOffset>3284220</wp:posOffset>
              </wp:positionH>
              <wp:positionV relativeFrom="paragraph">
                <wp:posOffset>28158</wp:posOffset>
              </wp:positionV>
              <wp:extent cx="2950469" cy="879455"/>
              <wp:effectExtent l="0" t="0" r="0" b="0"/>
              <wp:wrapNone/>
              <wp:docPr id="7" name="5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0469" cy="879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60B7C" w14:textId="77777777" w:rsidR="001B4512" w:rsidRPr="00BC3681" w:rsidRDefault="001B4512" w:rsidP="001B45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 w:cs="Aria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División de Ciencias Económico Administrativas</w:t>
                          </w:r>
                        </w:p>
                        <w:p w14:paraId="3BA3681E" w14:textId="77777777" w:rsidR="001B4512" w:rsidRPr="00BC3681" w:rsidRDefault="001B4512" w:rsidP="001B45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C3681">
                            <w:rPr>
                              <w:rFonts w:ascii="Rockwell" w:hAnsi="Rockwell"/>
                              <w:color w:val="000000" w:themeColor="text1"/>
                              <w:kern w:val="24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Ciudad Universitaria del Conocimiento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99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.6pt;margin-top:2.2pt;width:232.3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" filled="f" stroked="f">
              <v:textbox>
                <w:txbxContent>
                  <w:p w14:paraId="30760B7C" w14:textId="77777777" w:rsidR="001B4512" w:rsidRPr="00BC3681" w:rsidRDefault="001B4512" w:rsidP="001B45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 w:cs="Aria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División de Ciencias Económico Administrativas</w:t>
                    </w:r>
                  </w:p>
                  <w:p w14:paraId="3BA3681E" w14:textId="77777777" w:rsidR="001B4512" w:rsidRPr="00BC3681" w:rsidRDefault="001B4512" w:rsidP="001B45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C3681">
                      <w:rPr>
                        <w:rFonts w:ascii="Rockwell" w:hAnsi="Rockwell"/>
                        <w:color w:val="000000" w:themeColor="text1"/>
                        <w:kern w:val="24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Ciudad Universitaria del Conocimiento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527EAA" wp14:editId="24D209B7">
          <wp:extent cx="2743200" cy="1210103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6847" cy="1224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E19"/>
    <w:multiLevelType w:val="hybridMultilevel"/>
    <w:tmpl w:val="637ADE36"/>
    <w:lvl w:ilvl="0" w:tplc="4EF68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E5246"/>
    <w:multiLevelType w:val="hybridMultilevel"/>
    <w:tmpl w:val="927E6E7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3CA2"/>
    <w:multiLevelType w:val="hybridMultilevel"/>
    <w:tmpl w:val="266EB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680"/>
    <w:multiLevelType w:val="hybridMultilevel"/>
    <w:tmpl w:val="D61469F2"/>
    <w:lvl w:ilvl="0" w:tplc="39AA893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9045B"/>
    <w:multiLevelType w:val="hybridMultilevel"/>
    <w:tmpl w:val="FBC684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812"/>
    <w:multiLevelType w:val="hybridMultilevel"/>
    <w:tmpl w:val="C0528154"/>
    <w:lvl w:ilvl="0" w:tplc="0900AA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7B1832"/>
    <w:multiLevelType w:val="hybridMultilevel"/>
    <w:tmpl w:val="AA9EF0DE"/>
    <w:lvl w:ilvl="0" w:tplc="18606C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5A03"/>
    <w:multiLevelType w:val="hybridMultilevel"/>
    <w:tmpl w:val="8A9CE9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D1BB8"/>
    <w:multiLevelType w:val="hybridMultilevel"/>
    <w:tmpl w:val="8864CEFE"/>
    <w:lvl w:ilvl="0" w:tplc="03B452A8">
      <w:start w:val="1"/>
      <w:numFmt w:val="lowerLetter"/>
      <w:lvlText w:val="%1)"/>
      <w:lvlJc w:val="left"/>
      <w:pPr>
        <w:ind w:left="0" w:firstLine="360"/>
      </w:pPr>
      <w:rPr>
        <w:rFonts w:ascii="Arial" w:eastAsiaTheme="minorHAnsi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FA7"/>
    <w:multiLevelType w:val="hybridMultilevel"/>
    <w:tmpl w:val="17989E0A"/>
    <w:lvl w:ilvl="0" w:tplc="B7B89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87E99"/>
    <w:multiLevelType w:val="hybridMultilevel"/>
    <w:tmpl w:val="F5F68BE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20037">
    <w:abstractNumId w:val="7"/>
  </w:num>
  <w:num w:numId="2" w16cid:durableId="1085883553">
    <w:abstractNumId w:val="4"/>
  </w:num>
  <w:num w:numId="3" w16cid:durableId="979967098">
    <w:abstractNumId w:val="8"/>
  </w:num>
  <w:num w:numId="4" w16cid:durableId="1010063533">
    <w:abstractNumId w:val="6"/>
  </w:num>
  <w:num w:numId="5" w16cid:durableId="901674875">
    <w:abstractNumId w:val="2"/>
  </w:num>
  <w:num w:numId="6" w16cid:durableId="1866359122">
    <w:abstractNumId w:val="0"/>
  </w:num>
  <w:num w:numId="7" w16cid:durableId="1094478159">
    <w:abstractNumId w:val="3"/>
  </w:num>
  <w:num w:numId="8" w16cid:durableId="661932246">
    <w:abstractNumId w:val="5"/>
  </w:num>
  <w:num w:numId="9" w16cid:durableId="1964576008">
    <w:abstractNumId w:val="1"/>
  </w:num>
  <w:num w:numId="10" w16cid:durableId="812334743">
    <w:abstractNumId w:val="10"/>
  </w:num>
  <w:num w:numId="11" w16cid:durableId="144730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A"/>
    <w:rsid w:val="00010946"/>
    <w:rsid w:val="00014A93"/>
    <w:rsid w:val="00020309"/>
    <w:rsid w:val="00027883"/>
    <w:rsid w:val="00057071"/>
    <w:rsid w:val="000673C8"/>
    <w:rsid w:val="00071AA9"/>
    <w:rsid w:val="000A71E6"/>
    <w:rsid w:val="000C6540"/>
    <w:rsid w:val="000D093A"/>
    <w:rsid w:val="000E753A"/>
    <w:rsid w:val="0010187F"/>
    <w:rsid w:val="00114B26"/>
    <w:rsid w:val="001B19A1"/>
    <w:rsid w:val="001B4512"/>
    <w:rsid w:val="001E6B77"/>
    <w:rsid w:val="001F7D86"/>
    <w:rsid w:val="00231EDC"/>
    <w:rsid w:val="00252929"/>
    <w:rsid w:val="002961A8"/>
    <w:rsid w:val="002E0168"/>
    <w:rsid w:val="002F291F"/>
    <w:rsid w:val="002F55CB"/>
    <w:rsid w:val="00307B15"/>
    <w:rsid w:val="003A3165"/>
    <w:rsid w:val="003D31E3"/>
    <w:rsid w:val="004278A3"/>
    <w:rsid w:val="00444A23"/>
    <w:rsid w:val="00462AEC"/>
    <w:rsid w:val="00475C10"/>
    <w:rsid w:val="00536FA0"/>
    <w:rsid w:val="00554618"/>
    <w:rsid w:val="00566D5C"/>
    <w:rsid w:val="005A76C3"/>
    <w:rsid w:val="006032A8"/>
    <w:rsid w:val="00606481"/>
    <w:rsid w:val="00607221"/>
    <w:rsid w:val="0061192D"/>
    <w:rsid w:val="00616514"/>
    <w:rsid w:val="00626A03"/>
    <w:rsid w:val="00627E6B"/>
    <w:rsid w:val="00677BC1"/>
    <w:rsid w:val="00682A58"/>
    <w:rsid w:val="006D070B"/>
    <w:rsid w:val="006D4AA1"/>
    <w:rsid w:val="006F557A"/>
    <w:rsid w:val="00704D9E"/>
    <w:rsid w:val="00730927"/>
    <w:rsid w:val="007564E4"/>
    <w:rsid w:val="00795C02"/>
    <w:rsid w:val="00833D0A"/>
    <w:rsid w:val="008544F6"/>
    <w:rsid w:val="00857BC5"/>
    <w:rsid w:val="008668D4"/>
    <w:rsid w:val="00877A97"/>
    <w:rsid w:val="008B73D5"/>
    <w:rsid w:val="008E0986"/>
    <w:rsid w:val="00901C8E"/>
    <w:rsid w:val="0093786B"/>
    <w:rsid w:val="00954408"/>
    <w:rsid w:val="009F76CC"/>
    <w:rsid w:val="00A11CD2"/>
    <w:rsid w:val="00A52073"/>
    <w:rsid w:val="00A65120"/>
    <w:rsid w:val="00A71850"/>
    <w:rsid w:val="00A87B52"/>
    <w:rsid w:val="00AA3833"/>
    <w:rsid w:val="00B642AD"/>
    <w:rsid w:val="00BC3681"/>
    <w:rsid w:val="00BD602A"/>
    <w:rsid w:val="00BE56B0"/>
    <w:rsid w:val="00BF4336"/>
    <w:rsid w:val="00BF7ECB"/>
    <w:rsid w:val="00C41F5D"/>
    <w:rsid w:val="00C526F3"/>
    <w:rsid w:val="00C64EC9"/>
    <w:rsid w:val="00C74D2B"/>
    <w:rsid w:val="00CC7E05"/>
    <w:rsid w:val="00CD5328"/>
    <w:rsid w:val="00CE7485"/>
    <w:rsid w:val="00CE7FBA"/>
    <w:rsid w:val="00D27CA7"/>
    <w:rsid w:val="00D54E6E"/>
    <w:rsid w:val="00D6509D"/>
    <w:rsid w:val="00DA3267"/>
    <w:rsid w:val="00DE49C4"/>
    <w:rsid w:val="00E63476"/>
    <w:rsid w:val="00E7482B"/>
    <w:rsid w:val="00E74FF9"/>
    <w:rsid w:val="00E85651"/>
    <w:rsid w:val="00EA7F86"/>
    <w:rsid w:val="00F0332A"/>
    <w:rsid w:val="00F039D4"/>
    <w:rsid w:val="00F26C84"/>
    <w:rsid w:val="00F44FA6"/>
    <w:rsid w:val="00F628E3"/>
    <w:rsid w:val="00F86A03"/>
    <w:rsid w:val="00FA4FDA"/>
    <w:rsid w:val="00FC466E"/>
    <w:rsid w:val="37E4F88D"/>
    <w:rsid w:val="5AF4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F2A8"/>
  <w15:chartTrackingRefBased/>
  <w15:docId w15:val="{3910E8A7-C44A-4247-93CE-9C093E91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4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2AD"/>
  </w:style>
  <w:style w:type="paragraph" w:styleId="Piedepgina">
    <w:name w:val="footer"/>
    <w:basedOn w:val="Normal"/>
    <w:link w:val="PiedepginaCar"/>
    <w:uiPriority w:val="99"/>
    <w:unhideWhenUsed/>
    <w:rsid w:val="00B64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2AD"/>
  </w:style>
  <w:style w:type="paragraph" w:styleId="Prrafodelista">
    <w:name w:val="List Paragraph"/>
    <w:basedOn w:val="Normal"/>
    <w:uiPriority w:val="34"/>
    <w:qFormat/>
    <w:rsid w:val="00BE56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4A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maximilianogamaspe.wixsite.com/ciclos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CDC3F-7336-402B-9770-2569A81BC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6F0EE-354D-4A43-B3BE-A0E10F84C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D21A8-32A5-4034-A6B1-A20F0EABAFF8}">
  <ds:schemaRefs>
    <ds:schemaRef ds:uri="http://schemas.microsoft.com/office/2006/metadata/properties"/>
    <ds:schemaRef ds:uri="http://schemas.microsoft.com/office/infopath/2007/PartnerControls"/>
    <ds:schemaRef ds:uri="01a1ff9d-e1a1-4fd3-91d1-ee2b87d87ad5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Max Pérez</cp:lastModifiedBy>
  <cp:revision>3</cp:revision>
  <cp:lastPrinted>2023-05-09T12:36:00Z</cp:lastPrinted>
  <dcterms:created xsi:type="dcterms:W3CDTF">2025-11-24T03:17:00Z</dcterms:created>
  <dcterms:modified xsi:type="dcterms:W3CDTF">2025-11-24T03:18:00Z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